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136F01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5EB21E56" w14:textId="77777777" w:rsidR="009B10C4" w:rsidRPr="00136F01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242A0E8" w14:textId="7BE864C5" w:rsidR="009B10C4" w:rsidRPr="00136F01" w:rsidRDefault="00A557C5" w:rsidP="009B10C4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136F01">
        <w:rPr>
          <w:b/>
          <w:sz w:val="22"/>
          <w:szCs w:val="22"/>
        </w:rPr>
        <w:t>PROHLÁŠENÍ A ZÁRUKA INTEGRITY</w:t>
      </w:r>
    </w:p>
    <w:p w14:paraId="01BBB865" w14:textId="77777777" w:rsidR="009B10C4" w:rsidRPr="00136F01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BE8E1EE" w14:textId="7EF46DFC" w:rsidR="009B10C4" w:rsidRPr="00136F01" w:rsidRDefault="009B10C4" w:rsidP="009B10C4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749DFB33" w14:textId="77777777" w:rsidR="00857806" w:rsidRPr="00136F01" w:rsidRDefault="00857806" w:rsidP="009B4CB3">
      <w:pPr>
        <w:jc w:val="center"/>
        <w:rPr>
          <w:bCs/>
          <w:sz w:val="22"/>
          <w:szCs w:val="22"/>
        </w:rPr>
      </w:pPr>
    </w:p>
    <w:p w14:paraId="78E4957D" w14:textId="4EFC4B69" w:rsidR="009B4CB3" w:rsidRPr="00136F01" w:rsidRDefault="009B4CB3" w:rsidP="009B4CB3">
      <w:pPr>
        <w:jc w:val="center"/>
        <w:rPr>
          <w:b/>
          <w:sz w:val="22"/>
          <w:szCs w:val="22"/>
        </w:rPr>
      </w:pPr>
    </w:p>
    <w:p w14:paraId="04B35BAE" w14:textId="1277C0E9" w:rsidR="009B4CB3" w:rsidRPr="00136F01" w:rsidRDefault="009B10C4" w:rsidP="009B4CB3">
      <w:pPr>
        <w:jc w:val="center"/>
        <w:rPr>
          <w:b/>
          <w:i/>
          <w:sz w:val="22"/>
          <w:szCs w:val="22"/>
        </w:rPr>
      </w:pPr>
      <w:r w:rsidRPr="00136F01">
        <w:rPr>
          <w:b/>
          <w:sz w:val="22"/>
          <w:szCs w:val="22"/>
        </w:rPr>
        <w:t>zadávací řízení na zavedení DNS</w:t>
      </w:r>
    </w:p>
    <w:p w14:paraId="3E33C6E3" w14:textId="77777777" w:rsidR="009B10C4" w:rsidRPr="00136F01" w:rsidRDefault="009B10C4" w:rsidP="009B10C4">
      <w:pPr>
        <w:jc w:val="center"/>
        <w:rPr>
          <w:b/>
          <w:sz w:val="22"/>
          <w:szCs w:val="22"/>
        </w:rPr>
      </w:pPr>
      <w:r w:rsidRPr="00136F01">
        <w:rPr>
          <w:b/>
          <w:sz w:val="22"/>
          <w:szCs w:val="22"/>
        </w:rPr>
        <w:t xml:space="preserve">„Asfaltové směsi </w:t>
      </w:r>
    </w:p>
    <w:p w14:paraId="6361C1D0" w14:textId="77777777" w:rsidR="009B10C4" w:rsidRPr="00136F01" w:rsidRDefault="009B10C4" w:rsidP="009B10C4">
      <w:pPr>
        <w:jc w:val="center"/>
        <w:rPr>
          <w:b/>
          <w:sz w:val="22"/>
          <w:szCs w:val="22"/>
        </w:rPr>
      </w:pPr>
      <w:r w:rsidRPr="00136F01">
        <w:rPr>
          <w:b/>
          <w:sz w:val="22"/>
          <w:szCs w:val="22"/>
        </w:rPr>
        <w:t>pro Správu a údržbu silnic Pardubického kraje“</w:t>
      </w:r>
    </w:p>
    <w:p w14:paraId="6BD217F9" w14:textId="720829AD" w:rsidR="000A0CEF" w:rsidRPr="00136F01" w:rsidRDefault="000A0CEF" w:rsidP="009B4CB3">
      <w:pPr>
        <w:jc w:val="center"/>
        <w:rPr>
          <w:b/>
          <w:sz w:val="22"/>
          <w:szCs w:val="22"/>
        </w:rPr>
      </w:pPr>
    </w:p>
    <w:p w14:paraId="5B769B2E" w14:textId="77777777" w:rsidR="000A0CEF" w:rsidRPr="00136F01" w:rsidRDefault="000A0CEF" w:rsidP="00F3673D">
      <w:pPr>
        <w:rPr>
          <w:sz w:val="22"/>
          <w:szCs w:val="22"/>
        </w:rPr>
      </w:pPr>
    </w:p>
    <w:p w14:paraId="702C0DD9" w14:textId="77777777" w:rsidR="000A0CEF" w:rsidRPr="00136F01" w:rsidRDefault="000A0CEF" w:rsidP="000A0CEF">
      <w:pPr>
        <w:rPr>
          <w:sz w:val="22"/>
          <w:szCs w:val="22"/>
        </w:rPr>
      </w:pPr>
    </w:p>
    <w:p w14:paraId="74264217" w14:textId="77777777" w:rsidR="00E21F55" w:rsidRPr="00136F01" w:rsidRDefault="000A0CEF" w:rsidP="00E21F55">
      <w:pPr>
        <w:jc w:val="center"/>
        <w:rPr>
          <w:sz w:val="22"/>
          <w:szCs w:val="22"/>
        </w:rPr>
      </w:pPr>
      <w:r w:rsidRPr="00136F01">
        <w:rPr>
          <w:color w:val="FF0000"/>
          <w:sz w:val="22"/>
          <w:szCs w:val="22"/>
        </w:rPr>
        <w:t>Název firmy (doplní dodavatel)</w:t>
      </w:r>
      <w:r w:rsidRPr="00136F01">
        <w:rPr>
          <w:sz w:val="22"/>
          <w:szCs w:val="22"/>
        </w:rPr>
        <w:t xml:space="preserve"> prohlašuje, že se před uzavřením smlouvy </w:t>
      </w:r>
      <w:r w:rsidR="005B5C53" w:rsidRPr="00136F01">
        <w:rPr>
          <w:sz w:val="22"/>
          <w:szCs w:val="22"/>
        </w:rPr>
        <w:t xml:space="preserve">na </w:t>
      </w:r>
    </w:p>
    <w:p w14:paraId="6DEEB414" w14:textId="7AC2637D" w:rsidR="00B043F7" w:rsidRPr="00136F01" w:rsidRDefault="00B043F7" w:rsidP="00E21F55">
      <w:pPr>
        <w:jc w:val="center"/>
        <w:rPr>
          <w:b/>
          <w:sz w:val="22"/>
          <w:szCs w:val="22"/>
        </w:rPr>
      </w:pPr>
      <w:r w:rsidRPr="00136F01">
        <w:rPr>
          <w:b/>
          <w:sz w:val="22"/>
          <w:szCs w:val="22"/>
        </w:rPr>
        <w:t>„</w:t>
      </w:r>
      <w:r w:rsidR="00E21F55" w:rsidRPr="00136F01">
        <w:rPr>
          <w:b/>
          <w:sz w:val="22"/>
          <w:szCs w:val="22"/>
        </w:rPr>
        <w:t>Asfaltové směsi pro Správu a údržbu silnic Pardubického kraje</w:t>
      </w:r>
      <w:r w:rsidRPr="00136F01">
        <w:rPr>
          <w:b/>
          <w:sz w:val="22"/>
          <w:szCs w:val="22"/>
        </w:rPr>
        <w:t>“</w:t>
      </w:r>
    </w:p>
    <w:p w14:paraId="651C2B60" w14:textId="797F60C4" w:rsidR="000A0CEF" w:rsidRPr="00136F01" w:rsidRDefault="000A0CEF" w:rsidP="00B043F7">
      <w:pPr>
        <w:rPr>
          <w:sz w:val="22"/>
          <w:szCs w:val="22"/>
        </w:rPr>
      </w:pPr>
      <w:r w:rsidRPr="00136F01">
        <w:rPr>
          <w:sz w:val="22"/>
          <w:szCs w:val="22"/>
        </w:rPr>
        <w:t xml:space="preserve">nedopustil v souvislosti </w:t>
      </w:r>
      <w:r w:rsidR="00B31BF0" w:rsidRPr="00136F01">
        <w:rPr>
          <w:sz w:val="22"/>
          <w:szCs w:val="22"/>
        </w:rPr>
        <w:t>se zadávacím</w:t>
      </w:r>
      <w:r w:rsidR="00EA60EE" w:rsidRPr="00136F01">
        <w:rPr>
          <w:sz w:val="22"/>
          <w:szCs w:val="22"/>
        </w:rPr>
        <w:t xml:space="preserve"> </w:t>
      </w:r>
      <w:r w:rsidRPr="00136F01">
        <w:rPr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136F01">
        <w:rPr>
          <w:sz w:val="22"/>
          <w:szCs w:val="22"/>
        </w:rPr>
        <w:t xml:space="preserve">uvedené </w:t>
      </w:r>
      <w:r w:rsidRPr="00136F01">
        <w:rPr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136F01" w:rsidRDefault="000A0CEF" w:rsidP="00500E5A">
      <w:pPr>
        <w:jc w:val="both"/>
        <w:rPr>
          <w:sz w:val="22"/>
          <w:szCs w:val="22"/>
        </w:rPr>
      </w:pPr>
    </w:p>
    <w:p w14:paraId="460DA7E8" w14:textId="77777777" w:rsidR="000A0CEF" w:rsidRPr="00136F01" w:rsidRDefault="000A0CEF" w:rsidP="00500E5A">
      <w:pPr>
        <w:jc w:val="both"/>
        <w:rPr>
          <w:sz w:val="22"/>
          <w:szCs w:val="22"/>
        </w:rPr>
      </w:pPr>
      <w:r w:rsidRPr="00136F01">
        <w:rPr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136F01" w:rsidRDefault="000A0CEF" w:rsidP="00500E5A">
      <w:pPr>
        <w:jc w:val="both"/>
        <w:rPr>
          <w:sz w:val="22"/>
          <w:szCs w:val="22"/>
        </w:rPr>
      </w:pPr>
    </w:p>
    <w:p w14:paraId="3B1FB892" w14:textId="77777777" w:rsidR="000A0CEF" w:rsidRPr="00136F01" w:rsidRDefault="000A0CEF" w:rsidP="00500E5A">
      <w:pPr>
        <w:jc w:val="both"/>
        <w:rPr>
          <w:sz w:val="22"/>
          <w:szCs w:val="22"/>
        </w:rPr>
      </w:pPr>
      <w:r w:rsidRPr="00136F01">
        <w:rPr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136F01" w:rsidRDefault="000A0CEF" w:rsidP="000A0CEF">
      <w:pPr>
        <w:jc w:val="both"/>
        <w:rPr>
          <w:sz w:val="22"/>
          <w:szCs w:val="22"/>
        </w:rPr>
      </w:pPr>
    </w:p>
    <w:p w14:paraId="3E47067A" w14:textId="77777777" w:rsidR="000A0CEF" w:rsidRPr="00136F01" w:rsidRDefault="000A0CEF" w:rsidP="000A0CEF">
      <w:pPr>
        <w:rPr>
          <w:sz w:val="22"/>
          <w:szCs w:val="22"/>
        </w:rPr>
      </w:pPr>
    </w:p>
    <w:p w14:paraId="45D0599A" w14:textId="510059CF" w:rsidR="000A0CEF" w:rsidRPr="00136F01" w:rsidRDefault="000A0CEF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>V …………………</w:t>
      </w:r>
      <w:r w:rsidR="00F3673D" w:rsidRPr="00136F01">
        <w:rPr>
          <w:sz w:val="22"/>
          <w:szCs w:val="22"/>
        </w:rPr>
        <w:t>….</w:t>
      </w:r>
      <w:r w:rsidRPr="00136F01">
        <w:rPr>
          <w:sz w:val="22"/>
          <w:szCs w:val="22"/>
        </w:rPr>
        <w:t xml:space="preserve"> dne: </w:t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  <w:t xml:space="preserve"> </w:t>
      </w:r>
    </w:p>
    <w:p w14:paraId="650A3645" w14:textId="77777777" w:rsidR="000A0CEF" w:rsidRPr="00136F01" w:rsidRDefault="000A0CEF" w:rsidP="000A0CEF">
      <w:pPr>
        <w:rPr>
          <w:sz w:val="22"/>
          <w:szCs w:val="22"/>
        </w:rPr>
      </w:pPr>
    </w:p>
    <w:p w14:paraId="53D0E04A" w14:textId="2692CA2F" w:rsidR="000A0CEF" w:rsidRPr="00136F01" w:rsidRDefault="00F3673D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 xml:space="preserve">                                                                                                    </w:t>
      </w:r>
      <w:r w:rsidR="000A0CEF" w:rsidRPr="00136F01">
        <w:rPr>
          <w:sz w:val="22"/>
          <w:szCs w:val="22"/>
        </w:rPr>
        <w:t>Dodavatel:</w:t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</w:p>
    <w:p w14:paraId="0F394DF4" w14:textId="77777777" w:rsidR="000A0CEF" w:rsidRPr="00136F01" w:rsidRDefault="000A0CEF" w:rsidP="000A0CEF">
      <w:pPr>
        <w:rPr>
          <w:sz w:val="22"/>
          <w:szCs w:val="22"/>
        </w:rPr>
      </w:pPr>
    </w:p>
    <w:p w14:paraId="24703FAA" w14:textId="77777777" w:rsidR="000A0CEF" w:rsidRPr="00136F01" w:rsidRDefault="000A0CEF" w:rsidP="000A0CEF">
      <w:pPr>
        <w:rPr>
          <w:sz w:val="22"/>
          <w:szCs w:val="22"/>
        </w:rPr>
      </w:pPr>
    </w:p>
    <w:p w14:paraId="6CA9EC3C" w14:textId="77777777" w:rsidR="000A0CEF" w:rsidRPr="00136F01" w:rsidRDefault="000A0CEF" w:rsidP="000A0CEF">
      <w:pPr>
        <w:rPr>
          <w:sz w:val="22"/>
          <w:szCs w:val="22"/>
        </w:rPr>
      </w:pPr>
    </w:p>
    <w:p w14:paraId="3EFB665A" w14:textId="77777777" w:rsidR="00F3673D" w:rsidRPr="00136F01" w:rsidRDefault="00F3673D" w:rsidP="000A0CEF">
      <w:pPr>
        <w:rPr>
          <w:sz w:val="22"/>
          <w:szCs w:val="22"/>
        </w:rPr>
      </w:pPr>
    </w:p>
    <w:p w14:paraId="4DD8B0DB" w14:textId="77777777" w:rsidR="000A0CEF" w:rsidRPr="00136F01" w:rsidRDefault="000A0CEF" w:rsidP="000A0CEF">
      <w:pPr>
        <w:rPr>
          <w:sz w:val="22"/>
          <w:szCs w:val="22"/>
        </w:rPr>
      </w:pPr>
    </w:p>
    <w:p w14:paraId="0D05B387" w14:textId="77777777" w:rsidR="000A0CEF" w:rsidRPr="00136F01" w:rsidRDefault="000A0CEF" w:rsidP="000A0CEF">
      <w:pPr>
        <w:rPr>
          <w:sz w:val="22"/>
          <w:szCs w:val="22"/>
        </w:rPr>
      </w:pPr>
    </w:p>
    <w:p w14:paraId="2EC50016" w14:textId="2C5AD8E8" w:rsidR="000A0CEF" w:rsidRPr="00136F01" w:rsidRDefault="00F3673D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 xml:space="preserve">                                                                                                     </w:t>
      </w:r>
      <w:r w:rsidR="000A0CEF" w:rsidRPr="00136F01">
        <w:rPr>
          <w:sz w:val="22"/>
          <w:szCs w:val="22"/>
        </w:rPr>
        <w:t>……………………………</w:t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  <w:t xml:space="preserve">                     </w:t>
      </w:r>
    </w:p>
    <w:p w14:paraId="56A10EC1" w14:textId="25DC67DC" w:rsidR="000A0CEF" w:rsidRPr="00136F01" w:rsidRDefault="000A0CEF" w:rsidP="000A0CEF">
      <w:pPr>
        <w:rPr>
          <w:sz w:val="22"/>
          <w:szCs w:val="22"/>
        </w:rPr>
      </w:pPr>
      <w:r w:rsidRPr="00136F01">
        <w:rPr>
          <w:color w:val="FF0000"/>
          <w:sz w:val="22"/>
          <w:szCs w:val="22"/>
        </w:rPr>
        <w:t xml:space="preserve">    </w:t>
      </w:r>
      <w:r w:rsidR="00F3673D" w:rsidRPr="00136F01">
        <w:rPr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136F01">
        <w:rPr>
          <w:color w:val="FF0000"/>
          <w:sz w:val="22"/>
          <w:szCs w:val="22"/>
        </w:rPr>
        <w:t xml:space="preserve"> (doplní dodavatel)</w:t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  <w:t xml:space="preserve">    </w:t>
      </w:r>
    </w:p>
    <w:p w14:paraId="65372546" w14:textId="77777777" w:rsidR="00A557C5" w:rsidRPr="00136F01" w:rsidRDefault="000A0CEF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 xml:space="preserve">          </w:t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</w:p>
    <w:p w14:paraId="333B4F30" w14:textId="77777777" w:rsidR="00A557C5" w:rsidRPr="00136F01" w:rsidRDefault="00A557C5" w:rsidP="000A0CEF">
      <w:pPr>
        <w:rPr>
          <w:sz w:val="22"/>
          <w:szCs w:val="22"/>
        </w:rPr>
      </w:pPr>
    </w:p>
    <w:p w14:paraId="5D2ACF61" w14:textId="77777777" w:rsidR="00A557C5" w:rsidRPr="00136F01" w:rsidRDefault="00A557C5" w:rsidP="000A0CEF">
      <w:pPr>
        <w:rPr>
          <w:sz w:val="22"/>
          <w:szCs w:val="22"/>
        </w:rPr>
      </w:pPr>
    </w:p>
    <w:p w14:paraId="3A322BC3" w14:textId="77777777" w:rsidR="00A557C5" w:rsidRPr="00136F01" w:rsidRDefault="00A557C5" w:rsidP="000A0CEF">
      <w:pPr>
        <w:rPr>
          <w:sz w:val="22"/>
          <w:szCs w:val="22"/>
        </w:rPr>
      </w:pPr>
    </w:p>
    <w:p w14:paraId="06EB0126" w14:textId="77777777" w:rsidR="00A557C5" w:rsidRPr="00136F01" w:rsidRDefault="00A557C5" w:rsidP="000A0CEF">
      <w:pPr>
        <w:rPr>
          <w:sz w:val="22"/>
          <w:szCs w:val="22"/>
        </w:rPr>
      </w:pPr>
    </w:p>
    <w:p w14:paraId="5716AC12" w14:textId="77777777" w:rsidR="00A557C5" w:rsidRPr="00136F01" w:rsidRDefault="00A557C5" w:rsidP="000A0CEF">
      <w:pPr>
        <w:rPr>
          <w:sz w:val="22"/>
          <w:szCs w:val="22"/>
        </w:rPr>
      </w:pPr>
    </w:p>
    <w:p w14:paraId="32FE6F99" w14:textId="77777777" w:rsidR="00A557C5" w:rsidRPr="00136F01" w:rsidRDefault="00A557C5" w:rsidP="000A0CEF">
      <w:pPr>
        <w:rPr>
          <w:sz w:val="22"/>
          <w:szCs w:val="22"/>
        </w:rPr>
      </w:pPr>
    </w:p>
    <w:p w14:paraId="74D80706" w14:textId="77777777" w:rsidR="00A557C5" w:rsidRPr="00136F01" w:rsidRDefault="00A557C5" w:rsidP="000A0CEF">
      <w:pPr>
        <w:rPr>
          <w:sz w:val="22"/>
          <w:szCs w:val="22"/>
        </w:rPr>
      </w:pPr>
    </w:p>
    <w:p w14:paraId="6EEFDE24" w14:textId="77777777" w:rsidR="00A557C5" w:rsidRPr="00136F01" w:rsidRDefault="00A557C5" w:rsidP="000A0CEF">
      <w:pPr>
        <w:rPr>
          <w:sz w:val="22"/>
          <w:szCs w:val="22"/>
        </w:rPr>
      </w:pPr>
    </w:p>
    <w:p w14:paraId="7EF13B9F" w14:textId="77777777" w:rsidR="00A557C5" w:rsidRPr="00136F01" w:rsidRDefault="00A557C5" w:rsidP="000A0CEF">
      <w:pPr>
        <w:rPr>
          <w:sz w:val="22"/>
          <w:szCs w:val="22"/>
        </w:rPr>
      </w:pPr>
    </w:p>
    <w:p w14:paraId="37370DDA" w14:textId="77777777" w:rsidR="00A557C5" w:rsidRPr="00136F01" w:rsidRDefault="00A557C5" w:rsidP="000A0CEF">
      <w:pPr>
        <w:rPr>
          <w:sz w:val="22"/>
          <w:szCs w:val="22"/>
        </w:rPr>
      </w:pPr>
    </w:p>
    <w:p w14:paraId="7BBFD5E1" w14:textId="07893EB3" w:rsidR="000A0CEF" w:rsidRPr="00136F01" w:rsidRDefault="000A0CEF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  <w:t xml:space="preserve">      </w:t>
      </w:r>
    </w:p>
    <w:p w14:paraId="097D1BCB" w14:textId="77777777" w:rsidR="000A0CEF" w:rsidRPr="00136F01" w:rsidRDefault="000A0CEF" w:rsidP="000A0CEF">
      <w:pPr>
        <w:rPr>
          <w:sz w:val="22"/>
          <w:szCs w:val="22"/>
        </w:rPr>
      </w:pPr>
    </w:p>
    <w:p w14:paraId="1544EBD0" w14:textId="77777777" w:rsidR="00F3673D" w:rsidRPr="00136F01" w:rsidRDefault="00F3673D" w:rsidP="000A0CEF">
      <w:pPr>
        <w:rPr>
          <w:sz w:val="22"/>
          <w:szCs w:val="22"/>
        </w:rPr>
      </w:pPr>
    </w:p>
    <w:p w14:paraId="168958BF" w14:textId="77777777" w:rsidR="00F3673D" w:rsidRPr="00136F01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05A57877" w14:textId="77777777" w:rsidR="00F3673D" w:rsidRPr="00136F01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136F01">
        <w:rPr>
          <w:b/>
          <w:caps/>
          <w:sz w:val="22"/>
          <w:szCs w:val="22"/>
          <w:lang w:eastAsia="zh-CN"/>
        </w:rPr>
        <w:t>ČESTNÉ PROHLÁŠENÍ DODAVATELE K MEZINÁRODNÍM SANKCÍM</w:t>
      </w:r>
    </w:p>
    <w:p w14:paraId="6788C38A" w14:textId="77777777" w:rsidR="00F3673D" w:rsidRPr="00136F01" w:rsidRDefault="00F3673D" w:rsidP="00F3673D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32AAC6A2" w14:textId="77777777" w:rsidR="00F3673D" w:rsidRPr="00136F01" w:rsidRDefault="00F3673D" w:rsidP="00F3673D">
      <w:pPr>
        <w:jc w:val="center"/>
        <w:rPr>
          <w:b/>
          <w:sz w:val="22"/>
          <w:szCs w:val="22"/>
        </w:rPr>
      </w:pPr>
    </w:p>
    <w:p w14:paraId="6EAC4CD1" w14:textId="04C27262" w:rsidR="00F3673D" w:rsidRPr="00136F01" w:rsidRDefault="00F3673D" w:rsidP="00F3673D">
      <w:pPr>
        <w:jc w:val="center"/>
        <w:rPr>
          <w:b/>
          <w:i/>
          <w:sz w:val="22"/>
          <w:szCs w:val="22"/>
        </w:rPr>
      </w:pPr>
      <w:r w:rsidRPr="00136F01">
        <w:rPr>
          <w:b/>
          <w:sz w:val="22"/>
          <w:szCs w:val="22"/>
        </w:rPr>
        <w:t>zadávací řízení na zavedení DNS</w:t>
      </w:r>
    </w:p>
    <w:p w14:paraId="30671945" w14:textId="2A099C9C" w:rsidR="00F3673D" w:rsidRPr="00136F01" w:rsidRDefault="00F3673D" w:rsidP="00F3673D">
      <w:pPr>
        <w:jc w:val="center"/>
        <w:rPr>
          <w:b/>
          <w:sz w:val="22"/>
          <w:szCs w:val="22"/>
        </w:rPr>
      </w:pPr>
      <w:r w:rsidRPr="00136F01">
        <w:rPr>
          <w:b/>
          <w:sz w:val="22"/>
          <w:szCs w:val="22"/>
        </w:rPr>
        <w:t>„Asfaltové směsi pro Správu a údržbu silnic Pardubického kraje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136F01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136F01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136F01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</w:p>
        </w:tc>
      </w:tr>
      <w:tr w:rsidR="00F3673D" w:rsidRPr="00136F01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136F01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136F01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673D" w:rsidRPr="00136F01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136F01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77777777" w:rsidR="00F3673D" w:rsidRPr="00136F01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673D" w:rsidRPr="00136F01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136F01" w:rsidRDefault="00F3673D" w:rsidP="003C1C12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(dále také „</w:t>
            </w:r>
            <w:r w:rsidRPr="00136F01">
              <w:rPr>
                <w:b/>
                <w:sz w:val="22"/>
                <w:szCs w:val="22"/>
              </w:rPr>
              <w:t>účastník</w:t>
            </w:r>
            <w:r w:rsidRPr="00136F01">
              <w:rPr>
                <w:sz w:val="22"/>
                <w:szCs w:val="22"/>
              </w:rPr>
              <w:t>“)</w:t>
            </w:r>
          </w:p>
        </w:tc>
      </w:tr>
      <w:tr w:rsidR="00F3673D" w:rsidRPr="00136F01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136F01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AC123" w14:textId="77777777" w:rsidR="00F3673D" w:rsidRPr="00136F01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136F01" w:rsidRDefault="00F3673D" w:rsidP="003C1C12">
            <w:pPr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136F01" w:rsidRDefault="00F3673D" w:rsidP="003C1C12">
            <w:pPr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136F01" w:rsidRDefault="00F3673D" w:rsidP="003C1C12">
            <w:pPr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136F01" w:rsidRDefault="00F3673D" w:rsidP="003C1C12">
            <w:pPr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136F01" w:rsidRDefault="00F3673D" w:rsidP="003C1C12">
            <w:pPr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136F01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 xml:space="preserve">dále čestně prohlašuji, že účastník </w:t>
            </w:r>
          </w:p>
          <w:p w14:paraId="3BC5CF03" w14:textId="77777777" w:rsidR="00F3673D" w:rsidRPr="00136F01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136F01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136F01">
              <w:rPr>
                <w:b/>
                <w:sz w:val="22"/>
                <w:szCs w:val="22"/>
              </w:rPr>
              <w:t>zákon</w:t>
            </w:r>
            <w:r w:rsidRPr="00136F01">
              <w:rPr>
                <w:sz w:val="22"/>
                <w:szCs w:val="22"/>
              </w:rPr>
              <w:t>“).</w:t>
            </w:r>
          </w:p>
          <w:p w14:paraId="50E5A557" w14:textId="77777777" w:rsidR="00F3673D" w:rsidRPr="00136F01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136F01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136F01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potvrzuje, že veškeré informace uváděné a obsažené v nabídce jsou pravdivé.</w:t>
            </w:r>
          </w:p>
          <w:p w14:paraId="02E0204B" w14:textId="77777777" w:rsidR="00F3673D" w:rsidRPr="00136F01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14:paraId="1C80BEF3" w14:textId="77777777" w:rsidR="00F3673D" w:rsidRPr="00136F01" w:rsidRDefault="00F3673D" w:rsidP="00F3673D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136F01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136F01" w:rsidRDefault="00F3673D" w:rsidP="003C1C12">
            <w:pPr>
              <w:spacing w:before="120" w:after="120"/>
              <w:rPr>
                <w:b/>
                <w:caps/>
                <w:sz w:val="22"/>
                <w:szCs w:val="22"/>
              </w:rPr>
            </w:pPr>
            <w:r w:rsidRPr="00136F01">
              <w:rPr>
                <w:b/>
                <w:caps/>
                <w:sz w:val="22"/>
                <w:szCs w:val="22"/>
              </w:rPr>
              <w:t>osoba oprávněná jednat za účastníka</w:t>
            </w:r>
          </w:p>
        </w:tc>
      </w:tr>
      <w:tr w:rsidR="00F3673D" w:rsidRPr="00136F01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136F01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136F01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F3673D" w:rsidRPr="00136F01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136F01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136F01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136F01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136F01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136F01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136F01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136F01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136F01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5546855" w14:textId="77777777" w:rsidR="00F3673D" w:rsidRPr="00136F01" w:rsidRDefault="00F3673D" w:rsidP="00F3673D">
      <w:pPr>
        <w:jc w:val="both"/>
        <w:rPr>
          <w:sz w:val="22"/>
          <w:szCs w:val="22"/>
        </w:rPr>
      </w:pPr>
    </w:p>
    <w:p w14:paraId="3A9F123F" w14:textId="77777777" w:rsidR="00F3673D" w:rsidRPr="00136F01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190AF608" w14:textId="77777777" w:rsidR="00F3673D" w:rsidRPr="00136F01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136F01">
        <w:rPr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136F01" w:rsidRDefault="00F3673D" w:rsidP="00F3673D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5227A918" w14:textId="77777777" w:rsidR="00F3673D" w:rsidRPr="00136F01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3E4516FF" w14:textId="77777777" w:rsidR="00F3673D" w:rsidRPr="00136F01" w:rsidRDefault="00F3673D" w:rsidP="00F3673D">
      <w:pPr>
        <w:jc w:val="center"/>
        <w:rPr>
          <w:b/>
          <w:i/>
          <w:sz w:val="22"/>
          <w:szCs w:val="22"/>
        </w:rPr>
      </w:pPr>
      <w:r w:rsidRPr="00136F01">
        <w:rPr>
          <w:b/>
          <w:sz w:val="22"/>
          <w:szCs w:val="22"/>
        </w:rPr>
        <w:t>zadávací řízení na zavedení DNS</w:t>
      </w:r>
    </w:p>
    <w:p w14:paraId="60ECCB77" w14:textId="6C049FB2" w:rsidR="00F3673D" w:rsidRPr="00136F01" w:rsidRDefault="00F3673D" w:rsidP="00F3673D">
      <w:pPr>
        <w:jc w:val="center"/>
        <w:rPr>
          <w:b/>
          <w:sz w:val="22"/>
          <w:szCs w:val="22"/>
        </w:rPr>
      </w:pPr>
      <w:r w:rsidRPr="00136F01">
        <w:rPr>
          <w:b/>
          <w:sz w:val="22"/>
          <w:szCs w:val="22"/>
        </w:rPr>
        <w:t>„Asfaltové směsi pro Správu a údržbu silnic Pardubického kraje“</w:t>
      </w:r>
    </w:p>
    <w:p w14:paraId="415D95B5" w14:textId="77777777" w:rsidR="00F3673D" w:rsidRPr="00136F01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5A047C0A" w14:textId="568EDA67" w:rsidR="00F3673D" w:rsidRPr="00136F01" w:rsidRDefault="00F3673D" w:rsidP="00F3673D">
      <w:pPr>
        <w:jc w:val="center"/>
        <w:rPr>
          <w:bCs/>
          <w:sz w:val="22"/>
          <w:szCs w:val="22"/>
        </w:rPr>
      </w:pPr>
      <w:r w:rsidRPr="00136F01">
        <w:rPr>
          <w:bCs/>
          <w:color w:val="FF0000"/>
          <w:sz w:val="22"/>
          <w:szCs w:val="22"/>
        </w:rPr>
        <w:t xml:space="preserve">Název firmy (doplní dodavatel)  </w:t>
      </w:r>
      <w:r w:rsidRPr="00136F01">
        <w:rPr>
          <w:bCs/>
          <w:sz w:val="22"/>
          <w:szCs w:val="22"/>
        </w:rPr>
        <w:t>pro účely prokázání základní způsobilosti v rámci veřejné</w:t>
      </w:r>
    </w:p>
    <w:p w14:paraId="79176FE2" w14:textId="77777777" w:rsidR="00F3673D" w:rsidRPr="00136F01" w:rsidRDefault="00F3673D" w:rsidP="00F3673D">
      <w:pPr>
        <w:jc w:val="center"/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zakázky malého rozsahu s názvem:</w:t>
      </w:r>
    </w:p>
    <w:p w14:paraId="784C0439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174AFEC3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 xml:space="preserve">„Administrátor pro zastupování zadavatele při zadávání veřejných zakázek </w:t>
      </w:r>
      <w:bookmarkStart w:id="0" w:name="_Hlk142857950"/>
      <w:r w:rsidRPr="00136F01">
        <w:rPr>
          <w:bCs/>
          <w:sz w:val="22"/>
          <w:szCs w:val="22"/>
        </w:rPr>
        <w:t>2025-2027</w:t>
      </w:r>
      <w:bookmarkEnd w:id="0"/>
      <w:r w:rsidRPr="00136F01">
        <w:rPr>
          <w:bCs/>
          <w:sz w:val="22"/>
          <w:szCs w:val="22"/>
        </w:rPr>
        <w:t>“</w:t>
      </w:r>
    </w:p>
    <w:p w14:paraId="331C42A7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5E35C2E7" w14:textId="77777777" w:rsidR="00F3673D" w:rsidRPr="00136F01" w:rsidRDefault="00F3673D" w:rsidP="00F3673D">
      <w:pPr>
        <w:rPr>
          <w:bCs/>
          <w:iCs/>
          <w:sz w:val="22"/>
          <w:szCs w:val="22"/>
        </w:rPr>
      </w:pPr>
      <w:r w:rsidRPr="00136F01">
        <w:rPr>
          <w:bCs/>
          <w:iCs/>
          <w:sz w:val="22"/>
          <w:szCs w:val="22"/>
        </w:rPr>
        <w:t xml:space="preserve">prohlašuje, že je dodavatelem který: </w:t>
      </w:r>
    </w:p>
    <w:p w14:paraId="4F8307A3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a)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 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0C8CB62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b) nemá v České republice nebo v zemi svého sídla v evidenci daní zachycen splatný daňový nedoplatek;</w:t>
      </w:r>
    </w:p>
    <w:p w14:paraId="622F6044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123943B3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39E6F82E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6CCBC17E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5FCAF53C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082EDF62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V …………………………. dne ….…..…………</w:t>
      </w:r>
    </w:p>
    <w:p w14:paraId="093C6B40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6DEB3603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469F8DB9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6E8FAA74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2AE1AE08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1C0D3518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2C34EF6F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6D23133C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1AF4E1B8" w14:textId="55A30242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136F01" w:rsidRDefault="00F3673D" w:rsidP="00F3673D">
      <w:pPr>
        <w:rPr>
          <w:bCs/>
          <w:color w:val="FF0000"/>
          <w:sz w:val="22"/>
          <w:szCs w:val="22"/>
        </w:rPr>
      </w:pPr>
      <w:r w:rsidRPr="00136F01"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Pr="00136F01">
        <w:rPr>
          <w:bCs/>
          <w:color w:val="FF0000"/>
          <w:sz w:val="22"/>
          <w:szCs w:val="22"/>
        </w:rPr>
        <w:t>jméno a podpis</w:t>
      </w:r>
    </w:p>
    <w:p w14:paraId="4932136C" w14:textId="571B83FA" w:rsidR="00F3673D" w:rsidRPr="00136F01" w:rsidRDefault="00F3673D" w:rsidP="00F3673D">
      <w:pPr>
        <w:rPr>
          <w:bCs/>
          <w:iCs/>
          <w:color w:val="FF0000"/>
          <w:sz w:val="22"/>
          <w:szCs w:val="22"/>
        </w:rPr>
      </w:pPr>
      <w:r w:rsidRPr="00136F01">
        <w:rPr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211FF805" w14:textId="36F7ED57" w:rsidR="00F3673D" w:rsidRPr="00136F01" w:rsidRDefault="00F3673D" w:rsidP="00F3673D">
      <w:pPr>
        <w:rPr>
          <w:bCs/>
          <w:color w:val="FF0000"/>
          <w:sz w:val="22"/>
          <w:szCs w:val="22"/>
        </w:rPr>
      </w:pPr>
      <w:r w:rsidRPr="00136F01">
        <w:rPr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32F57B60" w14:textId="77777777" w:rsidR="000E582A" w:rsidRPr="00136F01" w:rsidRDefault="000E582A" w:rsidP="000E2439">
      <w:pPr>
        <w:rPr>
          <w:b/>
          <w:color w:val="FF0000"/>
          <w:sz w:val="22"/>
          <w:szCs w:val="22"/>
        </w:rPr>
      </w:pPr>
    </w:p>
    <w:p w14:paraId="33C570F1" w14:textId="77777777" w:rsidR="00136F01" w:rsidRPr="00136F01" w:rsidRDefault="00136F01" w:rsidP="000E2439">
      <w:pPr>
        <w:rPr>
          <w:b/>
          <w:color w:val="FF0000"/>
          <w:sz w:val="22"/>
          <w:szCs w:val="22"/>
        </w:rPr>
      </w:pPr>
    </w:p>
    <w:p w14:paraId="3B0DAFF3" w14:textId="77777777" w:rsidR="00136F01" w:rsidRPr="00136F01" w:rsidRDefault="00136F01" w:rsidP="000E2439">
      <w:pPr>
        <w:rPr>
          <w:b/>
          <w:color w:val="FF0000"/>
          <w:sz w:val="22"/>
          <w:szCs w:val="22"/>
        </w:rPr>
      </w:pPr>
    </w:p>
    <w:p w14:paraId="08126833" w14:textId="513FA96A" w:rsidR="00136F01" w:rsidRPr="00136F01" w:rsidRDefault="00136F01" w:rsidP="00136F01">
      <w:pPr>
        <w:spacing w:before="120" w:after="120" w:line="276" w:lineRule="auto"/>
        <w:ind w:left="4820"/>
        <w:contextualSpacing/>
        <w:rPr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36F01" w14:paraId="1B0D38A5" w14:textId="77777777" w:rsidTr="00B32C1B">
        <w:tc>
          <w:tcPr>
            <w:tcW w:w="9747" w:type="dxa"/>
            <w:gridSpan w:val="2"/>
            <w:shd w:val="clear" w:color="auto" w:fill="auto"/>
          </w:tcPr>
          <w:p w14:paraId="45341A89" w14:textId="77777777" w:rsidR="00136F01" w:rsidRPr="00136F01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bookmarkStart w:id="1" w:name="_Hlk190928267"/>
          </w:p>
          <w:p w14:paraId="7AEAC179" w14:textId="77777777" w:rsidR="00136F01" w:rsidRPr="00136F01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36F01">
              <w:rPr>
                <w:b/>
                <w:bCs/>
                <w:sz w:val="28"/>
                <w:szCs w:val="28"/>
              </w:rPr>
              <w:t>ČESTNÉ PROHLÁŠENÍ O NEEXISTENCI STŘETU ZÁJMŮ</w:t>
            </w:r>
          </w:p>
        </w:tc>
      </w:tr>
      <w:tr w:rsidR="00136F01" w:rsidRPr="00136F01" w14:paraId="1B852D12" w14:textId="77777777" w:rsidTr="00B32C1B">
        <w:tc>
          <w:tcPr>
            <w:tcW w:w="3936" w:type="dxa"/>
            <w:shd w:val="clear" w:color="auto" w:fill="auto"/>
            <w:vAlign w:val="center"/>
          </w:tcPr>
          <w:p w14:paraId="6542C4D1" w14:textId="77777777" w:rsidR="00136F01" w:rsidRPr="00136F01" w:rsidRDefault="00136F01" w:rsidP="00B32C1B">
            <w:pPr>
              <w:spacing w:before="120" w:after="120" w:line="276" w:lineRule="auto"/>
              <w:textAlignment w:val="top"/>
              <w:rPr>
                <w:sz w:val="22"/>
                <w:szCs w:val="28"/>
              </w:rPr>
            </w:pPr>
            <w:r w:rsidRPr="00136F01">
              <w:rPr>
                <w:sz w:val="22"/>
                <w:szCs w:val="28"/>
              </w:rPr>
              <w:t>Název veřejné zakázky:</w:t>
            </w:r>
          </w:p>
        </w:tc>
        <w:tc>
          <w:tcPr>
            <w:tcW w:w="5811" w:type="dxa"/>
            <w:shd w:val="clear" w:color="auto" w:fill="auto"/>
          </w:tcPr>
          <w:p w14:paraId="4D856C94" w14:textId="63BC5EE3" w:rsidR="00136F01" w:rsidRPr="00136F01" w:rsidRDefault="00136F01" w:rsidP="00B32C1B">
            <w:pPr>
              <w:jc w:val="center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 xml:space="preserve">„Asfaltové směsi </w:t>
            </w:r>
          </w:p>
          <w:p w14:paraId="12A33DC3" w14:textId="56C417C6" w:rsidR="00136F01" w:rsidRPr="00136F01" w:rsidRDefault="00136F01" w:rsidP="00B32C1B">
            <w:pPr>
              <w:spacing w:before="120" w:after="120" w:line="276" w:lineRule="auto"/>
              <w:textAlignment w:val="top"/>
              <w:rPr>
                <w:sz w:val="22"/>
                <w:szCs w:val="28"/>
              </w:rPr>
            </w:pPr>
            <w:r w:rsidRPr="00136F01">
              <w:rPr>
                <w:b/>
                <w:sz w:val="22"/>
                <w:szCs w:val="22"/>
              </w:rPr>
              <w:t>pro Správu a údržbu silnic Pardubického kraje“</w:t>
            </w:r>
          </w:p>
        </w:tc>
      </w:tr>
    </w:tbl>
    <w:p w14:paraId="5F1ECD1A" w14:textId="77777777" w:rsidR="00136F01" w:rsidRPr="00136F01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36F01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F35D0" w14:textId="77777777" w:rsidR="00136F01" w:rsidRPr="00136F01" w:rsidRDefault="00136F01" w:rsidP="00B32C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6F01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36F01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FCCC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136F01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70656" w14:textId="77777777" w:rsidR="00136F01" w:rsidRPr="00136F01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0CAD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B1246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2302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5CCC9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E936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0AA04" w14:textId="77777777" w:rsidR="00136F01" w:rsidRPr="00136F01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534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858F4" w14:textId="77777777" w:rsidR="00136F01" w:rsidRPr="00136F01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35D5" w14:textId="1A5A2342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proofErr w:type="gramStart"/>
            <w:r w:rsidRPr="00136F01">
              <w:rPr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136F01">
              <w:rPr>
                <w:color w:val="000000"/>
                <w:sz w:val="22"/>
                <w:szCs w:val="22"/>
              </w:rPr>
              <w:t xml:space="preserve">                                               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01235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136F01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sz w:val="24"/>
          <w:lang w:val="cs-CZ"/>
        </w:rPr>
      </w:pPr>
    </w:p>
    <w:p w14:paraId="65933B22" w14:textId="77777777" w:rsidR="00136F01" w:rsidRPr="00136F01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b/>
          <w:caps/>
          <w:sz w:val="22"/>
          <w:lang w:val="cs-CZ"/>
        </w:rPr>
      </w:pPr>
      <w:r w:rsidRPr="00136F01">
        <w:rPr>
          <w:rFonts w:ascii="Times New Roman" w:hAnsi="Times New Roman" w:cs="Times New Roman"/>
          <w:sz w:val="22"/>
          <w:lang w:val="cs-CZ"/>
        </w:rPr>
        <w:t xml:space="preserve">Dle </w:t>
      </w:r>
      <w:proofErr w:type="spellStart"/>
      <w:r w:rsidRPr="00136F01">
        <w:rPr>
          <w:rFonts w:ascii="Times New Roman" w:hAnsi="Times New Roman" w:cs="Times New Roman"/>
          <w:sz w:val="22"/>
          <w:lang w:val="cs-CZ"/>
        </w:rPr>
        <w:t>ust</w:t>
      </w:r>
      <w:proofErr w:type="spellEnd"/>
      <w:r w:rsidRPr="00136F01">
        <w:rPr>
          <w:rFonts w:ascii="Times New Roman" w:hAnsi="Times New Roman" w:cs="Times New Roman"/>
          <w:sz w:val="22"/>
          <w:lang w:val="cs-CZ"/>
        </w:rPr>
        <w:t>. § 4b zákona č. 159/2006 Sb., zákon o střetu zájmů, ve znění pozdějších předpisů (dále jen „</w:t>
      </w:r>
      <w:r w:rsidRPr="00136F01">
        <w:rPr>
          <w:rFonts w:ascii="Times New Roman" w:hAnsi="Times New Roman" w:cs="Times New Roman"/>
          <w:i/>
          <w:sz w:val="22"/>
          <w:lang w:val="cs-CZ"/>
        </w:rPr>
        <w:t>zákon o střetu zájmů</w:t>
      </w:r>
      <w:r w:rsidRPr="00136F01">
        <w:rPr>
          <w:rFonts w:ascii="Times New Roman" w:hAnsi="Times New Roman" w:cs="Times New Roman"/>
          <w:sz w:val="22"/>
          <w:lang w:val="cs-CZ"/>
        </w:rPr>
        <w:t>“)</w:t>
      </w:r>
      <w:r w:rsidRPr="00136F01">
        <w:rPr>
          <w:rFonts w:ascii="Times New Roman" w:hAnsi="Times New Roman" w:cs="Times New Roman"/>
          <w:caps/>
          <w:sz w:val="22"/>
          <w:lang w:val="cs-CZ"/>
        </w:rPr>
        <w:t xml:space="preserve"> </w:t>
      </w:r>
      <w:r w:rsidRPr="00136F01">
        <w:rPr>
          <w:rFonts w:ascii="Times New Roman" w:hAnsi="Times New Roman" w:cs="Times New Roman"/>
          <w:b/>
          <w:iCs/>
          <w:sz w:val="22"/>
          <w:lang w:val="cs-CZ"/>
        </w:rPr>
        <w:t>– doklad k prokázání splnění</w:t>
      </w:r>
      <w:r w:rsidRPr="00136F01">
        <w:rPr>
          <w:rFonts w:ascii="Times New Roman" w:hAnsi="Times New Roman" w:cs="Times New Roman"/>
          <w:b/>
          <w:iCs/>
          <w:smallCaps/>
          <w:sz w:val="22"/>
          <w:lang w:val="cs-CZ"/>
        </w:rPr>
        <w:t xml:space="preserve"> </w:t>
      </w:r>
      <w:r w:rsidRPr="00136F01">
        <w:rPr>
          <w:rFonts w:ascii="Times New Roman" w:hAnsi="Times New Roman" w:cs="Times New Roman"/>
          <w:b/>
          <w:iCs/>
          <w:sz w:val="22"/>
          <w:lang w:val="cs-CZ"/>
        </w:rPr>
        <w:t>zadávací podmínky</w:t>
      </w:r>
      <w:r w:rsidRPr="00136F01">
        <w:rPr>
          <w:rFonts w:ascii="Times New Roman" w:hAnsi="Times New Roman" w:cs="Times New Roman"/>
          <w:b/>
          <w:iCs/>
          <w:smallCaps/>
          <w:sz w:val="22"/>
          <w:lang w:val="cs-CZ"/>
        </w:rPr>
        <w:t xml:space="preserve"> </w:t>
      </w:r>
      <w:r w:rsidRPr="00136F01">
        <w:rPr>
          <w:rFonts w:ascii="Times New Roman" w:hAnsi="Times New Roman" w:cs="Times New Roman"/>
          <w:b/>
          <w:iCs/>
          <w:sz w:val="22"/>
          <w:lang w:val="cs-CZ"/>
        </w:rPr>
        <w:t>stanovené zadavatelem v bodu 3.6 zadávací dokumentace (výzvy).</w:t>
      </w:r>
    </w:p>
    <w:p w14:paraId="5C508574" w14:textId="77777777" w:rsidR="00136F01" w:rsidRPr="00136F01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/>
          <w:i/>
        </w:rPr>
      </w:pPr>
      <w:r w:rsidRPr="00136F01">
        <w:rPr>
          <w:b/>
          <w:i/>
        </w:rPr>
        <w:t xml:space="preserve">Níže podepsaný účastník veřejné zakázky tímto čestně prohlašuje, že: </w:t>
      </w:r>
    </w:p>
    <w:p w14:paraId="181CA7E2" w14:textId="77777777" w:rsidR="00136F01" w:rsidRPr="00136F01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eastAsia="Arial Unicode MS"/>
          <w:sz w:val="22"/>
        </w:rPr>
      </w:pPr>
      <w:r w:rsidRPr="00136F01">
        <w:rPr>
          <w:rFonts w:eastAsia="Arial Unicode MS"/>
          <w:b/>
          <w:sz w:val="22"/>
        </w:rPr>
        <w:t>není</w:t>
      </w:r>
      <w:r w:rsidRPr="00136F01">
        <w:rPr>
          <w:rFonts w:eastAsia="Arial Unicode MS"/>
          <w:sz w:val="22"/>
        </w:rPr>
        <w:t xml:space="preserve"> obchodní společností, ve které veřejný funkcionář uvedený v </w:t>
      </w:r>
      <w:proofErr w:type="spellStart"/>
      <w:r w:rsidRPr="00136F01">
        <w:rPr>
          <w:rFonts w:eastAsia="Arial Unicode MS"/>
          <w:sz w:val="22"/>
        </w:rPr>
        <w:t>ust</w:t>
      </w:r>
      <w:proofErr w:type="spellEnd"/>
      <w:r w:rsidRPr="00136F01">
        <w:rPr>
          <w:rFonts w:eastAsia="Arial Unicode MS"/>
          <w:sz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136F01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sz w:val="22"/>
        </w:rPr>
      </w:pPr>
      <w:r w:rsidRPr="00136F01">
        <w:rPr>
          <w:rFonts w:eastAsia="Arial Unicode MS"/>
          <w:sz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36F01">
        <w:rPr>
          <w:rFonts w:eastAsia="Arial Unicode MS"/>
          <w:sz w:val="22"/>
        </w:rPr>
        <w:t>ust</w:t>
      </w:r>
      <w:proofErr w:type="spellEnd"/>
      <w:r w:rsidRPr="00136F01">
        <w:rPr>
          <w:rFonts w:eastAsia="Arial Unicode MS"/>
          <w:sz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136F01" w:rsidRDefault="00136F01" w:rsidP="00136F01">
      <w:pPr>
        <w:spacing w:before="120" w:after="120" w:line="276" w:lineRule="auto"/>
        <w:contextualSpacing/>
        <w:jc w:val="both"/>
        <w:rPr>
          <w:color w:val="FF0000"/>
        </w:rPr>
      </w:pPr>
    </w:p>
    <w:p w14:paraId="33C58D4C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  <w:r w:rsidRPr="00136F01">
        <w:rPr>
          <w:sz w:val="22"/>
          <w:szCs w:val="22"/>
        </w:rPr>
        <w:t>V </w:t>
      </w:r>
      <w:r w:rsidRPr="00136F01">
        <w:rPr>
          <w:color w:val="FF0000"/>
          <w:sz w:val="22"/>
          <w:szCs w:val="22"/>
        </w:rPr>
        <w:t xml:space="preserve">[doplní účastník VZ] </w:t>
      </w:r>
      <w:r w:rsidRPr="00136F01">
        <w:rPr>
          <w:sz w:val="22"/>
          <w:szCs w:val="22"/>
        </w:rPr>
        <w:t>dne [</w:t>
      </w:r>
      <w:r w:rsidRPr="00136F01">
        <w:rPr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CCA6A16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3C54A0CA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5A93436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744B265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417C77B3" w14:textId="77777777" w:rsidR="00136F01" w:rsidRPr="00136F01" w:rsidRDefault="00136F01" w:rsidP="00136F01">
      <w:pPr>
        <w:ind w:left="4500"/>
        <w:jc w:val="center"/>
        <w:rPr>
          <w:color w:val="FF0000"/>
          <w:sz w:val="22"/>
          <w:szCs w:val="22"/>
        </w:rPr>
      </w:pPr>
      <w:r w:rsidRPr="00136F01">
        <w:rPr>
          <w:color w:val="FF0000"/>
          <w:sz w:val="22"/>
          <w:szCs w:val="22"/>
        </w:rPr>
        <w:t>[doplní účastník VZ]</w:t>
      </w:r>
    </w:p>
    <w:p w14:paraId="5F08F1E8" w14:textId="77777777" w:rsidR="00136F01" w:rsidRPr="00136F01" w:rsidRDefault="00136F01" w:rsidP="00136F01">
      <w:pPr>
        <w:ind w:left="4500"/>
        <w:jc w:val="center"/>
        <w:rPr>
          <w:sz w:val="22"/>
          <w:szCs w:val="22"/>
        </w:rPr>
      </w:pPr>
      <w:r w:rsidRPr="00136F01">
        <w:rPr>
          <w:sz w:val="22"/>
          <w:szCs w:val="22"/>
        </w:rPr>
        <w:t>podpis oprávněné osoby jednat za účastníka veřejné zakázky</w:t>
      </w:r>
    </w:p>
    <w:p w14:paraId="0ABEB0D0" w14:textId="77777777" w:rsidR="007C578A" w:rsidRDefault="007C578A" w:rsidP="00136F01">
      <w:pPr>
        <w:ind w:left="4500"/>
        <w:jc w:val="center"/>
        <w:rPr>
          <w:i/>
          <w:iCs/>
          <w:sz w:val="22"/>
          <w:szCs w:val="22"/>
        </w:rPr>
      </w:pPr>
    </w:p>
    <w:p w14:paraId="75352FFD" w14:textId="1F39E2CE" w:rsidR="00136F01" w:rsidRPr="00136F01" w:rsidRDefault="00136F01" w:rsidP="00136F01">
      <w:pPr>
        <w:ind w:left="4500"/>
        <w:jc w:val="center"/>
        <w:rPr>
          <w:i/>
          <w:iCs/>
          <w:sz w:val="22"/>
          <w:szCs w:val="22"/>
        </w:rPr>
      </w:pPr>
      <w:r w:rsidRPr="00136F01">
        <w:rPr>
          <w:i/>
          <w:iCs/>
          <w:sz w:val="22"/>
          <w:szCs w:val="22"/>
        </w:rPr>
        <w:t>titul, jméno, příjmení, funkce</w:t>
      </w:r>
      <w:bookmarkEnd w:id="1"/>
    </w:p>
    <w:p w14:paraId="51F28EBF" w14:textId="77777777" w:rsidR="00136F01" w:rsidRDefault="00136F01" w:rsidP="000E2439">
      <w:pPr>
        <w:rPr>
          <w:b/>
          <w:color w:val="FF0000"/>
          <w:sz w:val="22"/>
          <w:szCs w:val="22"/>
        </w:rPr>
      </w:pPr>
    </w:p>
    <w:p w14:paraId="02F1B921" w14:textId="77777777" w:rsidR="007C578A" w:rsidRDefault="007C578A" w:rsidP="000E2439">
      <w:pPr>
        <w:rPr>
          <w:b/>
          <w:color w:val="FF0000"/>
          <w:sz w:val="22"/>
          <w:szCs w:val="22"/>
        </w:rPr>
      </w:pPr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9351AF" w14:paraId="3A253B89" w14:textId="77777777" w:rsidTr="007C578A">
        <w:trPr>
          <w:trHeight w:val="633"/>
        </w:trPr>
        <w:tc>
          <w:tcPr>
            <w:tcW w:w="9780" w:type="dxa"/>
            <w:gridSpan w:val="2"/>
            <w:shd w:val="clear" w:color="auto" w:fill="auto"/>
          </w:tcPr>
          <w:p w14:paraId="38033A4E" w14:textId="77777777" w:rsidR="007C578A" w:rsidRPr="009351AF" w:rsidRDefault="007C578A" w:rsidP="0018305C">
            <w:pPr>
              <w:shd w:val="clear" w:color="auto" w:fill="F79646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bookmarkStart w:id="2" w:name="_Hlk190929972"/>
          </w:p>
          <w:p w14:paraId="6EE0877E" w14:textId="77777777" w:rsidR="007C578A" w:rsidRDefault="007C578A" w:rsidP="0018305C">
            <w:pPr>
              <w:shd w:val="clear" w:color="auto" w:fill="F79646"/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Čestné prohlášení k technické kvalifikace – seznam významných dodávek</w:t>
            </w:r>
          </w:p>
          <w:p w14:paraId="36BADFB7" w14:textId="77777777" w:rsidR="007C578A" w:rsidRPr="009351AF" w:rsidRDefault="007C578A" w:rsidP="0018305C">
            <w:pPr>
              <w:shd w:val="clear" w:color="auto" w:fill="F79646"/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7C578A" w:rsidRPr="009351AF" w14:paraId="58EA5CBF" w14:textId="77777777" w:rsidTr="007C578A">
        <w:trPr>
          <w:trHeight w:val="430"/>
        </w:trPr>
        <w:tc>
          <w:tcPr>
            <w:tcW w:w="3949" w:type="dxa"/>
            <w:shd w:val="clear" w:color="auto" w:fill="auto"/>
            <w:vAlign w:val="center"/>
          </w:tcPr>
          <w:p w14:paraId="4169B842" w14:textId="77777777" w:rsidR="007C578A" w:rsidRPr="009351AF" w:rsidRDefault="007C578A" w:rsidP="0018305C">
            <w:pPr>
              <w:spacing w:before="120" w:after="120" w:line="276" w:lineRule="auto"/>
              <w:textAlignment w:val="top"/>
              <w:rPr>
                <w:sz w:val="22"/>
                <w:szCs w:val="28"/>
              </w:rPr>
            </w:pPr>
            <w:r w:rsidRPr="009351AF">
              <w:rPr>
                <w:sz w:val="22"/>
                <w:szCs w:val="28"/>
              </w:rPr>
              <w:t>Název veřejné zakázky:</w:t>
            </w:r>
          </w:p>
        </w:tc>
        <w:tc>
          <w:tcPr>
            <w:tcW w:w="5831" w:type="dxa"/>
            <w:shd w:val="clear" w:color="auto" w:fill="auto"/>
          </w:tcPr>
          <w:p w14:paraId="0FCE8C61" w14:textId="77777777" w:rsidR="007C578A" w:rsidRPr="009351AF" w:rsidRDefault="007C578A" w:rsidP="0018305C">
            <w:pPr>
              <w:jc w:val="center"/>
              <w:rPr>
                <w:b/>
                <w:sz w:val="22"/>
                <w:szCs w:val="22"/>
              </w:rPr>
            </w:pPr>
            <w:r w:rsidRPr="009351AF">
              <w:rPr>
                <w:b/>
                <w:sz w:val="22"/>
                <w:szCs w:val="22"/>
              </w:rPr>
              <w:t xml:space="preserve">Asfaltové směsi </w:t>
            </w:r>
          </w:p>
          <w:p w14:paraId="01EC14E6" w14:textId="77777777" w:rsidR="007C578A" w:rsidRPr="009351AF" w:rsidRDefault="007C578A" w:rsidP="0018305C">
            <w:pPr>
              <w:spacing w:before="120" w:after="120" w:line="276" w:lineRule="auto"/>
              <w:textAlignment w:val="top"/>
              <w:rPr>
                <w:sz w:val="22"/>
                <w:szCs w:val="28"/>
              </w:rPr>
            </w:pPr>
            <w:r w:rsidRPr="009351AF">
              <w:rPr>
                <w:b/>
                <w:sz w:val="22"/>
                <w:szCs w:val="22"/>
              </w:rPr>
              <w:t>pro Správu a údržbu silnic Pardubického kraje</w:t>
            </w:r>
          </w:p>
        </w:tc>
      </w:tr>
    </w:tbl>
    <w:p w14:paraId="715E2A8B" w14:textId="77777777" w:rsidR="007C578A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</w:rPr>
      </w:pPr>
    </w:p>
    <w:p w14:paraId="72681D53" w14:textId="77777777" w:rsidR="007C578A" w:rsidRPr="009351AF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9351AF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9CBD7" w14:textId="77777777" w:rsidR="007C578A" w:rsidRPr="009351AF" w:rsidRDefault="007C578A" w:rsidP="001830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351AF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9351AF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2A1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9351AF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B08A3" w14:textId="77777777" w:rsidR="007C578A" w:rsidRPr="009351AF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FFE2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1619D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B15D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B2C5A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F0D1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98473" w14:textId="77777777" w:rsidR="007C578A" w:rsidRPr="009351AF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A824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41851" w14:textId="77777777" w:rsidR="007C578A" w:rsidRPr="009351AF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7264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proofErr w:type="gramStart"/>
            <w:r w:rsidRPr="009351AF">
              <w:rPr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9351AF">
              <w:rPr>
                <w:color w:val="000000"/>
                <w:sz w:val="22"/>
                <w:szCs w:val="22"/>
              </w:rPr>
              <w:t xml:space="preserve">                                                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063AF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20BBDCF" w14:textId="77777777" w:rsidR="007C578A" w:rsidRDefault="007C578A" w:rsidP="007C578A">
      <w:pPr>
        <w:rPr>
          <w:lang w:eastAsia="en-US"/>
        </w:rPr>
      </w:pPr>
    </w:p>
    <w:p w14:paraId="04905082" w14:textId="0E64418C" w:rsidR="007C578A" w:rsidRDefault="007C578A" w:rsidP="007C578A">
      <w:pPr>
        <w:rPr>
          <w:lang w:eastAsia="en-US"/>
        </w:rPr>
      </w:pPr>
    </w:p>
    <w:p w14:paraId="466DAD73" w14:textId="77777777" w:rsidR="007C578A" w:rsidRPr="00D9654C" w:rsidRDefault="007C578A" w:rsidP="007C578A">
      <w:pPr>
        <w:rPr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  <w:lang w:eastAsia="x-none"/>
              </w:rPr>
            </w:pPr>
            <w:r>
              <w:rPr>
                <w:rFonts w:ascii="Book Antiqua" w:hAnsi="Book Antiqua"/>
                <w:b/>
              </w:rPr>
              <w:t>Technická kvalifikace – referenční zakázky</w:t>
            </w:r>
          </w:p>
        </w:tc>
      </w:tr>
      <w:tr w:rsidR="007C578A" w14:paraId="5095A776" w14:textId="77777777" w:rsidTr="007C578A">
        <w:tc>
          <w:tcPr>
            <w:tcW w:w="9894" w:type="dxa"/>
            <w:gridSpan w:val="2"/>
            <w:shd w:val="clear" w:color="auto" w:fill="auto"/>
            <w:vAlign w:val="center"/>
          </w:tcPr>
          <w:p w14:paraId="34821C3A" w14:textId="77777777" w:rsidR="007C578A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splňuje následující požadavky na </w:t>
            </w:r>
            <w:r>
              <w:rPr>
                <w:rFonts w:ascii="Book Antiqua" w:hAnsi="Book Antiqua"/>
                <w:b/>
              </w:rPr>
              <w:t>1</w:t>
            </w:r>
            <w:r>
              <w:rPr>
                <w:rFonts w:ascii="Book Antiqua" w:hAnsi="Book Antiqua"/>
              </w:rPr>
              <w:t xml:space="preserve"> referenční zakázku:</w:t>
            </w:r>
          </w:p>
          <w:p w14:paraId="7E81BFBF" w14:textId="77777777" w:rsidR="007C578A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</w:rPr>
              <w:t>referenční zakázka byla realizována v období 3 let před zahájením Řízení</w:t>
            </w:r>
            <w:r>
              <w:rPr>
                <w:rFonts w:ascii="Book Antiqua" w:hAnsi="Book Antiqua"/>
              </w:rPr>
              <w:t>,</w:t>
            </w:r>
          </w:p>
          <w:p w14:paraId="52A60B0E" w14:textId="77777777" w:rsidR="007C578A" w:rsidRDefault="007C578A" w:rsidP="0018305C">
            <w:pPr>
              <w:tabs>
                <w:tab w:val="left" w:pos="2204"/>
              </w:tabs>
              <w:spacing w:before="60" w:after="60"/>
              <w:ind w:left="360"/>
              <w:rPr>
                <w:rFonts w:ascii="Book Antiqua" w:hAnsi="Book Antiqua"/>
              </w:rPr>
            </w:pPr>
            <w:bookmarkStart w:id="3" w:name="_Hlk77168192"/>
            <w:r>
              <w:rPr>
                <w:rFonts w:ascii="Book Antiqua" w:hAnsi="Book Antiqua"/>
                <w:b/>
                <w:bCs/>
              </w:rPr>
              <w:t xml:space="preserve">2.    </w:t>
            </w:r>
            <w:bookmarkEnd w:id="3"/>
            <w:r>
              <w:rPr>
                <w:rFonts w:ascii="Book Antiqua" w:hAnsi="Book Antiqua"/>
                <w:bCs/>
                <w:szCs w:val="22"/>
              </w:rPr>
              <w:t xml:space="preserve">jejímž předmětem byla předmět plnění (jakýkoli druh asfaltové směsi použitelné pro stavby a opravy pozemních komunikací), nebo i souhrn více dodávek pro jednoho nebo více objednatelů za rok, </w:t>
            </w:r>
            <w:r>
              <w:rPr>
                <w:rFonts w:ascii="Book Antiqua" w:hAnsi="Book Antiqua"/>
                <w:b/>
                <w:bCs/>
                <w:szCs w:val="22"/>
              </w:rPr>
              <w:t>v Kč bez DPH</w:t>
            </w:r>
            <w:r>
              <w:rPr>
                <w:rFonts w:ascii="Book Antiqua" w:hAnsi="Book Antiqua"/>
                <w:bCs/>
                <w:szCs w:val="22"/>
              </w:rPr>
              <w:t>, které dosahuje nejméně jedné čtvrtiny (25 %) předpokládané hodnoty předmětu plnění v dané části veřejné zakázky (</w:t>
            </w:r>
            <w:r>
              <w:rPr>
                <w:rFonts w:ascii="Book Antiqua" w:hAnsi="Book Antiqua"/>
                <w:bCs/>
                <w:i/>
                <w:szCs w:val="22"/>
              </w:rPr>
              <w:t>tj.</w:t>
            </w:r>
            <w:r>
              <w:rPr>
                <w:rFonts w:ascii="Book Antiqua" w:hAnsi="Book Antiqua"/>
                <w:bCs/>
                <w:szCs w:val="22"/>
              </w:rPr>
              <w:t xml:space="preserve"> </w:t>
            </w:r>
            <w:r>
              <w:rPr>
                <w:rFonts w:ascii="Book Antiqua" w:hAnsi="Book Antiqua"/>
                <w:bCs/>
                <w:i/>
                <w:szCs w:val="22"/>
              </w:rPr>
              <w:t xml:space="preserve">např. pro část 1 veřejné zakázky odpovídá významné dodávce dodání v min. hodnotě 4 772 250 Kč bez DPH, tj. 19 089 </w:t>
            </w:r>
            <w:proofErr w:type="gramStart"/>
            <w:r>
              <w:rPr>
                <w:rFonts w:ascii="Book Antiqua" w:hAnsi="Book Antiqua"/>
                <w:bCs/>
                <w:i/>
                <w:szCs w:val="22"/>
              </w:rPr>
              <w:t>000 :</w:t>
            </w:r>
            <w:proofErr w:type="gramEnd"/>
            <w:r>
              <w:rPr>
                <w:rFonts w:ascii="Book Antiqua" w:hAnsi="Book Antiqua"/>
                <w:bCs/>
                <w:i/>
                <w:szCs w:val="22"/>
              </w:rPr>
              <w:t xml:space="preserve"> 4 = 4 772 250 Kč bez DPH).</w:t>
            </w:r>
            <w:r>
              <w:rPr>
                <w:rFonts w:ascii="Book Antiqua" w:hAnsi="Book Antiqua"/>
                <w:bCs/>
                <w:szCs w:val="22"/>
              </w:rPr>
              <w:t xml:space="preserve">  </w:t>
            </w:r>
          </w:p>
          <w:p w14:paraId="4702FDEA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  <w:highlight w:val="yellow"/>
                <w:lang w:eastAsia="x-none"/>
              </w:rPr>
            </w:pPr>
            <w:r>
              <w:rPr>
                <w:rFonts w:ascii="Book Antiqua" w:hAnsi="Book Antiqua"/>
              </w:rPr>
              <w:t>Zadavatel uvádí, že připouští prokázání více kritérií jednou referenční zakázkou.</w:t>
            </w:r>
          </w:p>
        </w:tc>
      </w:tr>
      <w:tr w:rsidR="007C578A" w14:paraId="584EFCE5" w14:textId="77777777" w:rsidTr="007C578A">
        <w:tc>
          <w:tcPr>
            <w:tcW w:w="4683" w:type="dxa"/>
            <w:shd w:val="clear" w:color="auto" w:fill="auto"/>
          </w:tcPr>
          <w:p w14:paraId="18463DAD" w14:textId="77777777" w:rsidR="007C578A" w:rsidRDefault="007C578A" w:rsidP="0018305C">
            <w:pPr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9B8C739" w14:textId="77777777" w:rsidR="007C578A" w:rsidRDefault="007C578A" w:rsidP="0018305C">
            <w:pPr>
              <w:rPr>
                <w:rFonts w:ascii="Book Antiqua" w:hAnsi="Book Antiqua"/>
              </w:rPr>
            </w:pPr>
            <w:r>
              <w:rPr>
                <w:rStyle w:val="Zstupntext"/>
                <w:rFonts w:ascii="Book Antiqua" w:hAnsi="Book Antiqua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78C6511A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Identifikace předmětu plnění: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předmět plnění</w:t>
            </w:r>
          </w:p>
          <w:p w14:paraId="6B223C8B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Datum dokončení: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zadejte datum</w:t>
            </w:r>
          </w:p>
          <w:p w14:paraId="1B798221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Hodnota: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vepište částku a měnu</w:t>
            </w:r>
          </w:p>
          <w:p w14:paraId="1F81F98B" w14:textId="77777777" w:rsidR="007C578A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Book Antiqua" w:hAnsi="Book Antiqua"/>
                <w:lang w:eastAsia="x-none"/>
              </w:rPr>
            </w:pPr>
            <w:r>
              <w:rPr>
                <w:rFonts w:ascii="Book Antiqua" w:hAnsi="Book Antiqua"/>
              </w:rPr>
              <w:t xml:space="preserve">Kontaktní osoba objednatele: </w:t>
            </w:r>
            <w:r>
              <w:rPr>
                <w:rStyle w:val="Zstupntext"/>
                <w:rFonts w:ascii="Book Antiqua" w:eastAsia="Calibri" w:hAnsi="Book Antiqua"/>
                <w:highlight w:val="yellow"/>
              </w:rPr>
              <w:t>Jméno, e-mail, tel.</w:t>
            </w:r>
          </w:p>
        </w:tc>
      </w:tr>
      <w:tr w:rsidR="007C578A" w14:paraId="133D3087" w14:textId="77777777" w:rsidTr="007C578A">
        <w:tc>
          <w:tcPr>
            <w:tcW w:w="4683" w:type="dxa"/>
            <w:shd w:val="clear" w:color="auto" w:fill="auto"/>
          </w:tcPr>
          <w:p w14:paraId="6948CE42" w14:textId="77777777" w:rsidR="007C578A" w:rsidRDefault="007C578A" w:rsidP="0018305C">
            <w:pPr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291D977D" w14:textId="77777777" w:rsidR="007C578A" w:rsidRDefault="007C578A" w:rsidP="0018305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color w:val="808080"/>
                <w:shd w:val="clear" w:color="auto" w:fill="FFFF00"/>
              </w:rPr>
              <w:t>Název subjektu, pro který byla referenční zakázka realizována</w:t>
            </w:r>
            <w:r>
              <w:rPr>
                <w:rFonts w:ascii="Book Antiqua" w:hAnsi="Book Antiqua"/>
                <w:shd w:val="clear" w:color="auto" w:fill="FFFF00"/>
              </w:rPr>
              <w:t>.</w:t>
            </w:r>
          </w:p>
          <w:p w14:paraId="6F496442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6D982D9D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Identifikace předmětu plnění: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předmět plnění</w:t>
            </w:r>
          </w:p>
          <w:p w14:paraId="021AC0C6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Datum dokončení zakázky: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datum</w:t>
            </w:r>
          </w:p>
          <w:p w14:paraId="57620C39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Hodnota: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vepište částku a měnu</w:t>
            </w:r>
          </w:p>
          <w:p w14:paraId="677BCB90" w14:textId="77777777" w:rsidR="007C578A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Book Antiqua" w:hAnsi="Book Antiqua"/>
                <w:lang w:eastAsia="x-none"/>
              </w:rPr>
            </w:pPr>
            <w:r>
              <w:rPr>
                <w:rFonts w:ascii="Book Antiqua" w:hAnsi="Book Antiqua"/>
              </w:rPr>
              <w:t xml:space="preserve">Kontaktní osoba objednatele: </w:t>
            </w:r>
            <w:r>
              <w:rPr>
                <w:rStyle w:val="Zstupntext"/>
                <w:rFonts w:ascii="Book Antiqua" w:eastAsia="Calibri" w:hAnsi="Book Antiqua"/>
                <w:highlight w:val="yellow"/>
              </w:rPr>
              <w:t>Jméno, e-mail,</w:t>
            </w:r>
            <w:r>
              <w:rPr>
                <w:rStyle w:val="Zstupntext"/>
                <w:rFonts w:ascii="Book Antiqua" w:eastAsia="Calibri" w:hAnsi="Book Antiqua"/>
              </w:rPr>
              <w:t xml:space="preserve"> </w:t>
            </w:r>
            <w:r>
              <w:rPr>
                <w:rStyle w:val="Zstupntext"/>
                <w:rFonts w:ascii="Book Antiqua" w:eastAsia="Calibri" w:hAnsi="Book Antiqua"/>
                <w:highlight w:val="yellow"/>
              </w:rPr>
              <w:t>tel.</w:t>
            </w:r>
          </w:p>
        </w:tc>
      </w:tr>
    </w:tbl>
    <w:p w14:paraId="0BD1A341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2F8747D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6E88107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32B47129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D7B5D06" w14:textId="00AAC782" w:rsidR="007C578A" w:rsidRPr="009351AF" w:rsidRDefault="007C578A" w:rsidP="007C578A">
      <w:pPr>
        <w:spacing w:line="270" w:lineRule="exact"/>
        <w:outlineLvl w:val="0"/>
        <w:rPr>
          <w:sz w:val="22"/>
          <w:szCs w:val="22"/>
        </w:rPr>
      </w:pPr>
      <w:r w:rsidRPr="009351AF">
        <w:rPr>
          <w:sz w:val="22"/>
          <w:szCs w:val="22"/>
        </w:rPr>
        <w:t>V </w:t>
      </w:r>
      <w:r w:rsidRPr="009351AF">
        <w:rPr>
          <w:sz w:val="22"/>
          <w:szCs w:val="22"/>
          <w:highlight w:val="yellow"/>
        </w:rPr>
        <w:t>[doplní účastník VZ]</w:t>
      </w:r>
      <w:r w:rsidRPr="009351AF">
        <w:rPr>
          <w:sz w:val="22"/>
          <w:szCs w:val="22"/>
        </w:rPr>
        <w:t xml:space="preserve"> dne </w:t>
      </w:r>
      <w:r w:rsidRPr="009351AF">
        <w:rPr>
          <w:sz w:val="22"/>
          <w:szCs w:val="22"/>
          <w:highlight w:val="yellow"/>
        </w:rPr>
        <w:t>[doplní účastník VZ]</w:t>
      </w:r>
      <w:r w:rsidRPr="009351AF">
        <w:rPr>
          <w:sz w:val="22"/>
          <w:szCs w:val="22"/>
        </w:rPr>
        <w:t xml:space="preserve">                                                         </w:t>
      </w:r>
    </w:p>
    <w:p w14:paraId="70AC6892" w14:textId="77777777" w:rsidR="007C578A" w:rsidRPr="009351AF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134AE7D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D16B837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BA608C5" w14:textId="77777777" w:rsidR="007C578A" w:rsidRPr="009351AF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5BAB51E5" w14:textId="77777777" w:rsidR="007C578A" w:rsidRPr="009351AF" w:rsidRDefault="007C578A" w:rsidP="007C578A">
      <w:pPr>
        <w:ind w:left="4500"/>
        <w:jc w:val="center"/>
        <w:rPr>
          <w:sz w:val="22"/>
          <w:szCs w:val="22"/>
        </w:rPr>
      </w:pPr>
      <w:r w:rsidRPr="009351AF">
        <w:rPr>
          <w:sz w:val="22"/>
          <w:szCs w:val="22"/>
          <w:highlight w:val="yellow"/>
        </w:rPr>
        <w:t>[doplní účastník VZ]</w:t>
      </w:r>
    </w:p>
    <w:p w14:paraId="5671A06C" w14:textId="77777777" w:rsidR="007C578A" w:rsidRPr="009351AF" w:rsidRDefault="007C578A" w:rsidP="007C578A">
      <w:pPr>
        <w:ind w:left="4500"/>
        <w:jc w:val="center"/>
        <w:rPr>
          <w:sz w:val="22"/>
          <w:szCs w:val="22"/>
        </w:rPr>
      </w:pPr>
      <w:r w:rsidRPr="009351AF">
        <w:rPr>
          <w:sz w:val="22"/>
          <w:szCs w:val="22"/>
        </w:rPr>
        <w:t>podpis oprávněné osoby jednat za účastníka veřejné zakázky</w:t>
      </w:r>
    </w:p>
    <w:p w14:paraId="60242E18" w14:textId="77777777" w:rsidR="007C578A" w:rsidRPr="009351AF" w:rsidRDefault="007C578A" w:rsidP="007C578A">
      <w:pPr>
        <w:ind w:left="4500"/>
        <w:jc w:val="center"/>
        <w:rPr>
          <w:i/>
          <w:iCs/>
          <w:sz w:val="22"/>
          <w:szCs w:val="22"/>
        </w:rPr>
      </w:pPr>
      <w:r w:rsidRPr="009351AF">
        <w:rPr>
          <w:i/>
          <w:iCs/>
          <w:sz w:val="22"/>
          <w:szCs w:val="22"/>
        </w:rPr>
        <w:t>titul, jméno, příjmení, funkce</w:t>
      </w:r>
      <w:bookmarkEnd w:id="2"/>
    </w:p>
    <w:p w14:paraId="25539BF5" w14:textId="77777777" w:rsidR="007C578A" w:rsidRPr="00136F01" w:rsidRDefault="007C578A" w:rsidP="000E2439">
      <w:pPr>
        <w:rPr>
          <w:b/>
          <w:color w:val="FF0000"/>
          <w:sz w:val="22"/>
          <w:szCs w:val="22"/>
        </w:rPr>
      </w:pPr>
    </w:p>
    <w:sectPr w:rsidR="007C578A" w:rsidRPr="00136F01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4056A" w14:textId="77777777" w:rsidR="00742F48" w:rsidRDefault="00742F48">
      <w:r>
        <w:separator/>
      </w:r>
    </w:p>
  </w:endnote>
  <w:endnote w:type="continuationSeparator" w:id="0">
    <w:p w14:paraId="33198632" w14:textId="77777777" w:rsidR="00742F48" w:rsidRDefault="00742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59B87" w14:textId="77777777" w:rsidR="00742F48" w:rsidRDefault="00742F48">
      <w:r>
        <w:separator/>
      </w:r>
    </w:p>
  </w:footnote>
  <w:footnote w:type="continuationSeparator" w:id="0">
    <w:p w14:paraId="259D35B8" w14:textId="77777777" w:rsidR="00742F48" w:rsidRDefault="00742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0"/>
  </w:num>
  <w:num w:numId="2" w16cid:durableId="486634803">
    <w:abstractNumId w:val="23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2"/>
  </w:num>
  <w:num w:numId="5" w16cid:durableId="1963880607">
    <w:abstractNumId w:val="15"/>
  </w:num>
  <w:num w:numId="6" w16cid:durableId="77561217">
    <w:abstractNumId w:val="21"/>
  </w:num>
  <w:num w:numId="7" w16cid:durableId="1093862499">
    <w:abstractNumId w:val="25"/>
  </w:num>
  <w:num w:numId="8" w16cid:durableId="2063672709">
    <w:abstractNumId w:val="24"/>
  </w:num>
  <w:num w:numId="9" w16cid:durableId="290743761">
    <w:abstractNumId w:val="28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6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7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18"/>
  </w:num>
  <w:num w:numId="21" w16cid:durableId="1388339094">
    <w:abstractNumId w:val="6"/>
  </w:num>
  <w:num w:numId="22" w16cid:durableId="1790931875">
    <w:abstractNumId w:val="16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7"/>
  </w:num>
  <w:num w:numId="26" w16cid:durableId="1665624561">
    <w:abstractNumId w:val="1"/>
  </w:num>
  <w:num w:numId="27" w16cid:durableId="2077969007">
    <w:abstractNumId w:val="19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CEF"/>
    <w:rsid w:val="000A15ED"/>
    <w:rsid w:val="000A4869"/>
    <w:rsid w:val="000A71D0"/>
    <w:rsid w:val="000B00EC"/>
    <w:rsid w:val="000B3FB9"/>
    <w:rsid w:val="000B5FFC"/>
    <w:rsid w:val="000E2439"/>
    <w:rsid w:val="000E582A"/>
    <w:rsid w:val="000E6FF0"/>
    <w:rsid w:val="00115009"/>
    <w:rsid w:val="00130948"/>
    <w:rsid w:val="00135A7C"/>
    <w:rsid w:val="00136F01"/>
    <w:rsid w:val="001412B9"/>
    <w:rsid w:val="001428FA"/>
    <w:rsid w:val="00143112"/>
    <w:rsid w:val="001459C3"/>
    <w:rsid w:val="0015478D"/>
    <w:rsid w:val="001554D1"/>
    <w:rsid w:val="0016524C"/>
    <w:rsid w:val="00190C42"/>
    <w:rsid w:val="001A3EDB"/>
    <w:rsid w:val="001B32B5"/>
    <w:rsid w:val="001B539C"/>
    <w:rsid w:val="001E298C"/>
    <w:rsid w:val="001E3F24"/>
    <w:rsid w:val="002019D8"/>
    <w:rsid w:val="002109B3"/>
    <w:rsid w:val="002257A4"/>
    <w:rsid w:val="00226198"/>
    <w:rsid w:val="00230674"/>
    <w:rsid w:val="0024605A"/>
    <w:rsid w:val="00276B24"/>
    <w:rsid w:val="002A2211"/>
    <w:rsid w:val="002B594F"/>
    <w:rsid w:val="002D065C"/>
    <w:rsid w:val="002E634D"/>
    <w:rsid w:val="002E679D"/>
    <w:rsid w:val="002F0697"/>
    <w:rsid w:val="0030401E"/>
    <w:rsid w:val="00305041"/>
    <w:rsid w:val="003216F2"/>
    <w:rsid w:val="00330F33"/>
    <w:rsid w:val="0033534F"/>
    <w:rsid w:val="00335EA6"/>
    <w:rsid w:val="003408E4"/>
    <w:rsid w:val="00344025"/>
    <w:rsid w:val="00356D62"/>
    <w:rsid w:val="003773CB"/>
    <w:rsid w:val="0038033E"/>
    <w:rsid w:val="0038479E"/>
    <w:rsid w:val="003919A1"/>
    <w:rsid w:val="003B4464"/>
    <w:rsid w:val="003C068D"/>
    <w:rsid w:val="003D02D2"/>
    <w:rsid w:val="003D3B86"/>
    <w:rsid w:val="003F6F8C"/>
    <w:rsid w:val="004126D4"/>
    <w:rsid w:val="0043678B"/>
    <w:rsid w:val="00440FE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CBB"/>
    <w:rsid w:val="004B3B8C"/>
    <w:rsid w:val="004E1177"/>
    <w:rsid w:val="004E740A"/>
    <w:rsid w:val="004F796E"/>
    <w:rsid w:val="00500E5A"/>
    <w:rsid w:val="00501202"/>
    <w:rsid w:val="005265FB"/>
    <w:rsid w:val="00533F82"/>
    <w:rsid w:val="005430B5"/>
    <w:rsid w:val="00547175"/>
    <w:rsid w:val="00554CF7"/>
    <w:rsid w:val="005705CA"/>
    <w:rsid w:val="0057667E"/>
    <w:rsid w:val="005814F5"/>
    <w:rsid w:val="00586033"/>
    <w:rsid w:val="0059333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6B25"/>
    <w:rsid w:val="0063298E"/>
    <w:rsid w:val="006464A5"/>
    <w:rsid w:val="006518CB"/>
    <w:rsid w:val="00653071"/>
    <w:rsid w:val="00653D8D"/>
    <w:rsid w:val="00661839"/>
    <w:rsid w:val="00663BDD"/>
    <w:rsid w:val="00692626"/>
    <w:rsid w:val="006A0916"/>
    <w:rsid w:val="006A0E9B"/>
    <w:rsid w:val="006A3ED6"/>
    <w:rsid w:val="006B693B"/>
    <w:rsid w:val="006B7D18"/>
    <w:rsid w:val="006C154E"/>
    <w:rsid w:val="006C35AD"/>
    <w:rsid w:val="006C63E6"/>
    <w:rsid w:val="006D5C7C"/>
    <w:rsid w:val="006E4244"/>
    <w:rsid w:val="006F2383"/>
    <w:rsid w:val="006F6F91"/>
    <w:rsid w:val="007003C0"/>
    <w:rsid w:val="007021BC"/>
    <w:rsid w:val="007049A5"/>
    <w:rsid w:val="00710F8A"/>
    <w:rsid w:val="0073640F"/>
    <w:rsid w:val="00737DB9"/>
    <w:rsid w:val="00742F48"/>
    <w:rsid w:val="007471CB"/>
    <w:rsid w:val="0078169D"/>
    <w:rsid w:val="0079204D"/>
    <w:rsid w:val="007B10E1"/>
    <w:rsid w:val="007C43B2"/>
    <w:rsid w:val="007C578A"/>
    <w:rsid w:val="007C5D9C"/>
    <w:rsid w:val="007C6069"/>
    <w:rsid w:val="007D21F9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C49F4"/>
    <w:rsid w:val="008E65C4"/>
    <w:rsid w:val="008F0BB2"/>
    <w:rsid w:val="008F4C17"/>
    <w:rsid w:val="00902599"/>
    <w:rsid w:val="00905DDF"/>
    <w:rsid w:val="0090664E"/>
    <w:rsid w:val="00910442"/>
    <w:rsid w:val="0093170A"/>
    <w:rsid w:val="0093466B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5DD8"/>
    <w:rsid w:val="00A32062"/>
    <w:rsid w:val="00A36994"/>
    <w:rsid w:val="00A453DC"/>
    <w:rsid w:val="00A557C5"/>
    <w:rsid w:val="00A56AD5"/>
    <w:rsid w:val="00A60497"/>
    <w:rsid w:val="00A64650"/>
    <w:rsid w:val="00A831EE"/>
    <w:rsid w:val="00AA5B85"/>
    <w:rsid w:val="00AB2DAB"/>
    <w:rsid w:val="00AC272A"/>
    <w:rsid w:val="00AC2735"/>
    <w:rsid w:val="00AD106A"/>
    <w:rsid w:val="00AD7777"/>
    <w:rsid w:val="00AE4DE3"/>
    <w:rsid w:val="00AF1402"/>
    <w:rsid w:val="00B01F04"/>
    <w:rsid w:val="00B043F7"/>
    <w:rsid w:val="00B17C6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C0309"/>
    <w:rsid w:val="00BC76E2"/>
    <w:rsid w:val="00BD2DC6"/>
    <w:rsid w:val="00C01EBA"/>
    <w:rsid w:val="00C1712C"/>
    <w:rsid w:val="00C205EB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C2911"/>
    <w:rsid w:val="00CD7776"/>
    <w:rsid w:val="00CE15B2"/>
    <w:rsid w:val="00CE4EC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51E8E"/>
    <w:rsid w:val="00E547D0"/>
    <w:rsid w:val="00E55EF3"/>
    <w:rsid w:val="00E61FE6"/>
    <w:rsid w:val="00E65857"/>
    <w:rsid w:val="00E72AD9"/>
    <w:rsid w:val="00E93FBE"/>
    <w:rsid w:val="00EA182C"/>
    <w:rsid w:val="00EA60EE"/>
    <w:rsid w:val="00EC7EB9"/>
    <w:rsid w:val="00EE0260"/>
    <w:rsid w:val="00EE5F62"/>
    <w:rsid w:val="00EF1E3E"/>
    <w:rsid w:val="00F02896"/>
    <w:rsid w:val="00F165C9"/>
    <w:rsid w:val="00F20790"/>
    <w:rsid w:val="00F2245F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F55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1390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4</cp:revision>
  <dcterms:created xsi:type="dcterms:W3CDTF">2025-02-20T05:52:00Z</dcterms:created>
  <dcterms:modified xsi:type="dcterms:W3CDTF">2025-02-20T07:32:00Z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